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52" w:rsidRPr="009E3C52" w:rsidRDefault="009E3C52" w:rsidP="009E3C52">
      <w:pPr>
        <w:rPr>
          <w:rFonts w:ascii="Times New Roman" w:hAnsi="Times New Roman" w:cs="Times New Roman"/>
          <w:sz w:val="28"/>
        </w:rPr>
      </w:pPr>
    </w:p>
    <w:p w:rsidR="009E3C52" w:rsidRPr="009E3C52" w:rsidRDefault="009E3C52" w:rsidP="009E3C52">
      <w:pPr>
        <w:jc w:val="center"/>
        <w:rPr>
          <w:rFonts w:ascii="Times New Roman" w:eastAsia="標楷體" w:hAnsi="Times New Roman" w:cs="Times New Roman"/>
          <w:b/>
          <w:sz w:val="32"/>
        </w:rPr>
      </w:pPr>
      <w:r w:rsidRPr="009E3C52">
        <w:rPr>
          <w:rFonts w:ascii="Times New Roman" w:eastAsia="標楷體" w:hAnsi="Times New Roman" w:cs="Times New Roman"/>
          <w:b/>
          <w:sz w:val="32"/>
        </w:rPr>
        <w:t>台灣語言學學會會員權益</w:t>
      </w:r>
    </w:p>
    <w:p w:rsidR="009E3C52" w:rsidRDefault="009E3C52" w:rsidP="009E3C52">
      <w:pPr>
        <w:rPr>
          <w:rFonts w:ascii="Times New Roman" w:hAnsi="Times New Roman" w:cs="Times New Roman"/>
        </w:rPr>
      </w:pPr>
    </w:p>
    <w:p w:rsidR="00A574DC" w:rsidRPr="009E3C52" w:rsidRDefault="00A574DC" w:rsidP="009E3C52">
      <w:pPr>
        <w:rPr>
          <w:rFonts w:ascii="Times New Roman" w:hAnsi="Times New Roman" w:cs="Times New Roman"/>
        </w:rPr>
      </w:pPr>
    </w:p>
    <w:p w:rsidR="009E3C52" w:rsidRPr="00A574DC" w:rsidRDefault="009E3C52" w:rsidP="009E3C52">
      <w:pPr>
        <w:pStyle w:val="a7"/>
        <w:numPr>
          <w:ilvl w:val="0"/>
          <w:numId w:val="1"/>
        </w:numPr>
        <w:ind w:leftChars="0"/>
        <w:rPr>
          <w:rFonts w:ascii="Times New Roman" w:hAnsi="Times New Roman" w:cs="Times New Roman"/>
          <w:b/>
          <w:szCs w:val="26"/>
        </w:rPr>
      </w:pPr>
      <w:r w:rsidRPr="00A574DC">
        <w:rPr>
          <w:rFonts w:ascii="Times New Roman" w:hAnsi="Times New Roman" w:cs="Times New Roman"/>
          <w:b/>
          <w:szCs w:val="26"/>
        </w:rPr>
        <w:t>台灣語言學學會與中華民國計算語言學學會會員互惠辦法</w:t>
      </w:r>
    </w:p>
    <w:p w:rsidR="00A574DC" w:rsidRDefault="00A574DC" w:rsidP="009E3C52">
      <w:pPr>
        <w:jc w:val="right"/>
        <w:rPr>
          <w:rFonts w:ascii="Times New Roman" w:hAnsi="Times New Roman" w:cs="Times New Roman"/>
          <w:sz w:val="20"/>
        </w:rPr>
      </w:pPr>
    </w:p>
    <w:p w:rsidR="009E3C52" w:rsidRPr="009E3C52" w:rsidRDefault="009E3C52" w:rsidP="009E3C52">
      <w:pPr>
        <w:jc w:val="right"/>
        <w:rPr>
          <w:rFonts w:ascii="Times New Roman" w:hAnsi="Times New Roman" w:cs="Times New Roman"/>
          <w:sz w:val="20"/>
        </w:rPr>
      </w:pPr>
      <w:r w:rsidRPr="009E3C52">
        <w:rPr>
          <w:rFonts w:ascii="Times New Roman" w:hAnsi="Times New Roman" w:cs="Times New Roman"/>
          <w:sz w:val="20"/>
        </w:rPr>
        <w:t xml:space="preserve">2006.1.13 </w:t>
      </w:r>
      <w:r w:rsidRPr="009E3C52">
        <w:rPr>
          <w:rFonts w:ascii="Times New Roman" w:hAnsi="Times New Roman" w:cs="Times New Roman"/>
          <w:sz w:val="20"/>
        </w:rPr>
        <w:t>台灣語言學學會九十五年度第一次理監事會議通過</w:t>
      </w:r>
    </w:p>
    <w:p w:rsidR="009E3C52" w:rsidRPr="009E3C52" w:rsidRDefault="009E3C52" w:rsidP="009E3C52">
      <w:pPr>
        <w:pStyle w:val="a7"/>
        <w:ind w:leftChars="0"/>
        <w:jc w:val="right"/>
        <w:rPr>
          <w:rFonts w:ascii="Times New Roman" w:hAnsi="Times New Roman" w:cs="Times New Roman"/>
          <w:sz w:val="20"/>
        </w:rPr>
      </w:pPr>
      <w:r w:rsidRPr="009E3C52">
        <w:rPr>
          <w:rFonts w:ascii="Times New Roman" w:hAnsi="Times New Roman" w:cs="Times New Roman"/>
          <w:sz w:val="20"/>
        </w:rPr>
        <w:t xml:space="preserve">2006.3.14 </w:t>
      </w:r>
      <w:r w:rsidRPr="009E3C52">
        <w:rPr>
          <w:rFonts w:ascii="Times New Roman" w:hAnsi="Times New Roman" w:cs="Times New Roman"/>
          <w:sz w:val="20"/>
        </w:rPr>
        <w:t>計算語言學學會第九屆第三次理監事聯席會議通過</w:t>
      </w:r>
    </w:p>
    <w:p w:rsidR="009E3C52" w:rsidRPr="009E3C52" w:rsidRDefault="009E3C52" w:rsidP="009E3C52">
      <w:pPr>
        <w:pStyle w:val="a7"/>
        <w:ind w:leftChars="0"/>
        <w:rPr>
          <w:rFonts w:ascii="Times New Roman" w:hAnsi="Times New Roman" w:cs="Times New Roman"/>
        </w:rPr>
      </w:pPr>
    </w:p>
    <w:p w:rsidR="009E3C52" w:rsidRPr="009E3C52" w:rsidRDefault="009E3C52" w:rsidP="009E3C52">
      <w:pPr>
        <w:pStyle w:val="a7"/>
        <w:numPr>
          <w:ilvl w:val="0"/>
          <w:numId w:val="2"/>
        </w:numPr>
        <w:ind w:leftChars="0"/>
        <w:rPr>
          <w:rFonts w:ascii="Times New Roman" w:hAnsi="Times New Roman" w:cs="Times New Roman"/>
        </w:rPr>
      </w:pPr>
      <w:r w:rsidRPr="009E3C52">
        <w:rPr>
          <w:rFonts w:ascii="Times New Roman" w:hAnsi="Times New Roman" w:cs="Times New Roman"/>
        </w:rPr>
        <w:t>宗旨：</w:t>
      </w:r>
    </w:p>
    <w:p w:rsidR="009E3C52" w:rsidRPr="009E3C52" w:rsidRDefault="009E3C52" w:rsidP="009E3C52">
      <w:pPr>
        <w:pStyle w:val="a7"/>
        <w:ind w:leftChars="0" w:left="720"/>
        <w:rPr>
          <w:rFonts w:ascii="Times New Roman" w:hAnsi="Times New Roman" w:cs="Times New Roman"/>
        </w:rPr>
      </w:pPr>
      <w:r w:rsidRPr="009E3C52">
        <w:rPr>
          <w:rFonts w:ascii="Times New Roman" w:hAnsi="Times New Roman" w:cs="Times New Roman"/>
        </w:rPr>
        <w:t>台灣語言學學會</w:t>
      </w:r>
      <w:r w:rsidRPr="009E3C52">
        <w:rPr>
          <w:rFonts w:ascii="Times New Roman" w:hAnsi="Times New Roman" w:cs="Times New Roman"/>
        </w:rPr>
        <w:t>(LST)</w:t>
      </w:r>
      <w:r w:rsidRPr="009E3C52">
        <w:rPr>
          <w:rFonts w:ascii="Times New Roman" w:hAnsi="Times New Roman" w:cs="Times New Roman"/>
        </w:rPr>
        <w:t>與中華民國計算語言學學會（</w:t>
      </w:r>
      <w:r w:rsidRPr="009E3C52">
        <w:rPr>
          <w:rFonts w:ascii="Times New Roman" w:hAnsi="Times New Roman" w:cs="Times New Roman"/>
        </w:rPr>
        <w:t>ACLCLP</w:t>
      </w:r>
      <w:r w:rsidRPr="009E3C52">
        <w:rPr>
          <w:rFonts w:ascii="Times New Roman" w:hAnsi="Times New Roman" w:cs="Times New Roman"/>
        </w:rPr>
        <w:t>）為促進跨領域學術交流，及推廣兩學會合作，特制訂本辦法。</w:t>
      </w:r>
    </w:p>
    <w:p w:rsidR="009E3C52" w:rsidRPr="009E3C52" w:rsidRDefault="009E3C52" w:rsidP="009E3C52">
      <w:pPr>
        <w:rPr>
          <w:rFonts w:ascii="Times New Roman" w:hAnsi="Times New Roman" w:cs="Times New Roman"/>
        </w:rPr>
      </w:pPr>
      <w:r w:rsidRPr="009E3C52">
        <w:rPr>
          <w:rFonts w:ascii="Times New Roman" w:hAnsi="Times New Roman" w:cs="Times New Roman"/>
        </w:rPr>
        <w:t xml:space="preserve"> </w:t>
      </w:r>
    </w:p>
    <w:p w:rsidR="009E3C52" w:rsidRPr="009E3C52" w:rsidRDefault="009E3C52" w:rsidP="009E3C52">
      <w:pPr>
        <w:pStyle w:val="a7"/>
        <w:numPr>
          <w:ilvl w:val="0"/>
          <w:numId w:val="2"/>
        </w:numPr>
        <w:ind w:leftChars="0"/>
        <w:rPr>
          <w:rFonts w:ascii="Times New Roman" w:hAnsi="Times New Roman" w:cs="Times New Roman"/>
        </w:rPr>
      </w:pPr>
      <w:r w:rsidRPr="009E3C52">
        <w:rPr>
          <w:rFonts w:ascii="Times New Roman" w:hAnsi="Times New Roman" w:cs="Times New Roman"/>
        </w:rPr>
        <w:t>實施對象：</w:t>
      </w:r>
    </w:p>
    <w:p w:rsidR="009E3C52" w:rsidRPr="009E3C52" w:rsidRDefault="009E3C52" w:rsidP="009E3C52">
      <w:pPr>
        <w:pStyle w:val="a7"/>
        <w:ind w:leftChars="0" w:left="720"/>
        <w:rPr>
          <w:rFonts w:ascii="Times New Roman" w:hAnsi="Times New Roman" w:cs="Times New Roman"/>
        </w:rPr>
      </w:pPr>
      <w:r w:rsidRPr="009E3C52">
        <w:rPr>
          <w:rFonts w:ascii="Times New Roman" w:hAnsi="Times New Roman" w:cs="Times New Roman"/>
        </w:rPr>
        <w:t>本互惠辦法適用對象為註冊參加互惠活動之對方學會之有效會員。</w:t>
      </w:r>
    </w:p>
    <w:p w:rsidR="009E3C52" w:rsidRPr="009E3C52" w:rsidRDefault="009E3C52" w:rsidP="009E3C52">
      <w:pPr>
        <w:pStyle w:val="a7"/>
        <w:numPr>
          <w:ilvl w:val="0"/>
          <w:numId w:val="3"/>
        </w:numPr>
        <w:ind w:leftChars="0"/>
        <w:rPr>
          <w:rFonts w:ascii="Times New Roman" w:hAnsi="Times New Roman" w:cs="Times New Roman"/>
        </w:rPr>
      </w:pPr>
      <w:r w:rsidRPr="009E3C52">
        <w:rPr>
          <w:rFonts w:ascii="Times New Roman" w:hAnsi="Times New Roman" w:cs="Times New Roman"/>
        </w:rPr>
        <w:t>有效會員包括有效終身會員，或已繳當年年費之有效個人，學生，</w:t>
      </w:r>
    </w:p>
    <w:p w:rsidR="009E3C52" w:rsidRPr="009E3C52" w:rsidRDefault="009E3C52" w:rsidP="009E3C52">
      <w:pPr>
        <w:pStyle w:val="a7"/>
        <w:ind w:leftChars="0" w:left="1500"/>
        <w:rPr>
          <w:rFonts w:ascii="Times New Roman" w:hAnsi="Times New Roman" w:cs="Times New Roman"/>
        </w:rPr>
      </w:pPr>
      <w:r w:rsidRPr="009E3C52">
        <w:rPr>
          <w:rFonts w:ascii="Times New Roman" w:hAnsi="Times New Roman" w:cs="Times New Roman"/>
        </w:rPr>
        <w:t>或團體會員。</w:t>
      </w:r>
    </w:p>
    <w:p w:rsidR="009E3C52" w:rsidRPr="009E3C52" w:rsidRDefault="009E3C52" w:rsidP="009E3C52">
      <w:pPr>
        <w:pStyle w:val="a7"/>
        <w:numPr>
          <w:ilvl w:val="0"/>
          <w:numId w:val="3"/>
        </w:numPr>
        <w:ind w:leftChars="0"/>
        <w:rPr>
          <w:rFonts w:ascii="Times New Roman" w:hAnsi="Times New Roman" w:cs="Times New Roman"/>
        </w:rPr>
      </w:pPr>
      <w:r w:rsidRPr="009E3C52">
        <w:rPr>
          <w:rFonts w:ascii="Times New Roman" w:hAnsi="Times New Roman" w:cs="Times New Roman"/>
        </w:rPr>
        <w:t>註冊參加互惠活動者每年需繳交註冊費給各該學會。註冊費學生</w:t>
      </w:r>
    </w:p>
    <w:p w:rsidR="009E3C52" w:rsidRPr="009E3C52" w:rsidRDefault="009E3C52" w:rsidP="009E3C52">
      <w:pPr>
        <w:pStyle w:val="a7"/>
        <w:ind w:leftChars="0" w:left="1500"/>
        <w:rPr>
          <w:rFonts w:ascii="Times New Roman" w:hAnsi="Times New Roman" w:cs="Times New Roman"/>
        </w:rPr>
      </w:pPr>
      <w:r w:rsidRPr="009E3C52">
        <w:rPr>
          <w:rFonts w:ascii="Times New Roman" w:hAnsi="Times New Roman" w:cs="Times New Roman"/>
        </w:rPr>
        <w:t>會員為</w:t>
      </w:r>
      <w:r w:rsidRPr="009E3C52">
        <w:rPr>
          <w:rFonts w:ascii="Times New Roman" w:hAnsi="Times New Roman" w:cs="Times New Roman"/>
        </w:rPr>
        <w:t xml:space="preserve">250 </w:t>
      </w:r>
      <w:r w:rsidRPr="009E3C52">
        <w:rPr>
          <w:rFonts w:ascii="Times New Roman" w:hAnsi="Times New Roman" w:cs="Times New Roman"/>
        </w:rPr>
        <w:t>元，個人（含終身）會員為</w:t>
      </w:r>
      <w:r w:rsidRPr="009E3C52">
        <w:rPr>
          <w:rFonts w:ascii="Times New Roman" w:hAnsi="Times New Roman" w:cs="Times New Roman"/>
        </w:rPr>
        <w:t xml:space="preserve">500 </w:t>
      </w:r>
      <w:r w:rsidRPr="009E3C52">
        <w:rPr>
          <w:rFonts w:ascii="Times New Roman" w:hAnsi="Times New Roman" w:cs="Times New Roman"/>
        </w:rPr>
        <w:t>元，團體會員為</w:t>
      </w:r>
      <w:r w:rsidRPr="009E3C52">
        <w:rPr>
          <w:rFonts w:ascii="Times New Roman" w:hAnsi="Times New Roman" w:cs="Times New Roman"/>
        </w:rPr>
        <w:t xml:space="preserve">2,500 </w:t>
      </w:r>
      <w:r w:rsidRPr="009E3C52">
        <w:rPr>
          <w:rFonts w:ascii="Times New Roman" w:hAnsi="Times New Roman" w:cs="Times New Roman"/>
        </w:rPr>
        <w:t>元。</w:t>
      </w:r>
    </w:p>
    <w:p w:rsidR="009E3C52" w:rsidRPr="009E3C52" w:rsidRDefault="009E3C52" w:rsidP="009E3C52">
      <w:pPr>
        <w:rPr>
          <w:rFonts w:ascii="Times New Roman" w:hAnsi="Times New Roman" w:cs="Times New Roman"/>
        </w:rPr>
      </w:pPr>
      <w:r w:rsidRPr="009E3C52">
        <w:rPr>
          <w:rFonts w:ascii="Times New Roman" w:hAnsi="Times New Roman" w:cs="Times New Roman"/>
        </w:rPr>
        <w:t xml:space="preserve"> </w:t>
      </w:r>
    </w:p>
    <w:p w:rsidR="009E3C52" w:rsidRPr="009E3C52" w:rsidRDefault="009E3C52" w:rsidP="009E3C52">
      <w:pPr>
        <w:pStyle w:val="a7"/>
        <w:numPr>
          <w:ilvl w:val="0"/>
          <w:numId w:val="2"/>
        </w:numPr>
        <w:ind w:leftChars="0"/>
        <w:rPr>
          <w:rFonts w:ascii="Times New Roman" w:hAnsi="Times New Roman" w:cs="Times New Roman"/>
        </w:rPr>
      </w:pPr>
      <w:r w:rsidRPr="009E3C52">
        <w:rPr>
          <w:rFonts w:ascii="Times New Roman" w:hAnsi="Times New Roman" w:cs="Times New Roman"/>
        </w:rPr>
        <w:t>權益：</w:t>
      </w:r>
    </w:p>
    <w:p w:rsidR="009E3C52" w:rsidRPr="009E3C52" w:rsidRDefault="009E3C52" w:rsidP="009E3C52">
      <w:pPr>
        <w:pStyle w:val="a7"/>
        <w:ind w:leftChars="0" w:left="720"/>
        <w:rPr>
          <w:rFonts w:ascii="Times New Roman" w:hAnsi="Times New Roman" w:cs="Times New Roman"/>
        </w:rPr>
      </w:pPr>
      <w:r w:rsidRPr="009E3C52">
        <w:rPr>
          <w:rFonts w:ascii="Times New Roman" w:hAnsi="Times New Roman" w:cs="Times New Roman"/>
        </w:rPr>
        <w:t>參加互惠活動之會員，得享有對方學會會員權益，包括學術活動會員優惠，購買出版品與語料庫會員優惠，獲寄學會通訊與其他相關訊息，及其他雙方學會同意之權益。但不包括學會期刊。</w:t>
      </w:r>
    </w:p>
    <w:p w:rsidR="009E3C52" w:rsidRPr="009E3C52" w:rsidRDefault="009E3C52" w:rsidP="009E3C52">
      <w:pPr>
        <w:rPr>
          <w:rFonts w:ascii="Times New Roman" w:hAnsi="Times New Roman" w:cs="Times New Roman"/>
        </w:rPr>
      </w:pPr>
      <w:r w:rsidRPr="009E3C52">
        <w:rPr>
          <w:rFonts w:ascii="Times New Roman" w:hAnsi="Times New Roman" w:cs="Times New Roman"/>
        </w:rPr>
        <w:t xml:space="preserve"> </w:t>
      </w:r>
    </w:p>
    <w:p w:rsidR="009E3C52" w:rsidRDefault="009E3C52" w:rsidP="009E3C52">
      <w:pPr>
        <w:pStyle w:val="a7"/>
        <w:numPr>
          <w:ilvl w:val="0"/>
          <w:numId w:val="2"/>
        </w:numPr>
        <w:ind w:leftChars="0"/>
        <w:rPr>
          <w:rFonts w:ascii="Times New Roman" w:hAnsi="Times New Roman" w:cs="Times New Roman"/>
        </w:rPr>
      </w:pPr>
      <w:r w:rsidRPr="009E3C52">
        <w:rPr>
          <w:rFonts w:ascii="Times New Roman" w:hAnsi="Times New Roman" w:cs="Times New Roman"/>
        </w:rPr>
        <w:t>注意事項：</w:t>
      </w:r>
    </w:p>
    <w:p w:rsidR="009E3C52" w:rsidRPr="009E3C52" w:rsidRDefault="009E3C52" w:rsidP="009E3C52">
      <w:pPr>
        <w:pStyle w:val="a7"/>
        <w:ind w:leftChars="0" w:left="720"/>
        <w:rPr>
          <w:rFonts w:ascii="Times New Roman" w:hAnsi="Times New Roman" w:cs="Times New Roman"/>
        </w:rPr>
      </w:pPr>
      <w:r w:rsidRPr="009E3C52">
        <w:rPr>
          <w:rFonts w:ascii="Times New Roman" w:hAnsi="Times New Roman" w:cs="Times New Roman"/>
        </w:rPr>
        <w:t>互惠權益不包含對方學會之會員資格。欲取得會員資格者，必須依照各該學會章程規定申請。</w:t>
      </w:r>
    </w:p>
    <w:p w:rsidR="009E3C52" w:rsidRPr="009E3C52" w:rsidRDefault="009E3C52" w:rsidP="009E3C52">
      <w:pPr>
        <w:pStyle w:val="a7"/>
        <w:ind w:leftChars="0" w:left="720"/>
        <w:rPr>
          <w:rFonts w:ascii="Times New Roman" w:hAnsi="Times New Roman" w:cs="Times New Roman"/>
        </w:rPr>
      </w:pPr>
    </w:p>
    <w:p w:rsidR="009E3C52" w:rsidRDefault="009E3C52" w:rsidP="009E3C52">
      <w:pPr>
        <w:pStyle w:val="a7"/>
        <w:numPr>
          <w:ilvl w:val="0"/>
          <w:numId w:val="2"/>
        </w:numPr>
        <w:ind w:leftChars="0"/>
        <w:rPr>
          <w:rFonts w:ascii="Times New Roman" w:hAnsi="Times New Roman" w:cs="Times New Roman"/>
        </w:rPr>
      </w:pPr>
      <w:r w:rsidRPr="009E3C52">
        <w:rPr>
          <w:rFonts w:ascii="Times New Roman" w:hAnsi="Times New Roman" w:cs="Times New Roman"/>
        </w:rPr>
        <w:t>實施辦法：</w:t>
      </w:r>
    </w:p>
    <w:p w:rsidR="009E3C52" w:rsidRDefault="009E3C52" w:rsidP="009E3C52">
      <w:pPr>
        <w:pStyle w:val="a7"/>
        <w:numPr>
          <w:ilvl w:val="0"/>
          <w:numId w:val="5"/>
        </w:numPr>
        <w:ind w:leftChars="0"/>
        <w:rPr>
          <w:rFonts w:ascii="Times New Roman" w:hAnsi="Times New Roman" w:cs="Times New Roman"/>
        </w:rPr>
      </w:pPr>
      <w:r w:rsidRPr="009E3C52">
        <w:rPr>
          <w:rFonts w:ascii="Times New Roman" w:hAnsi="Times New Roman" w:cs="Times New Roman"/>
        </w:rPr>
        <w:t>台灣語言學學會與中華民國計算語言學學會於會員完成註冊手續後，備齊名冊提供對方學會作為實施優惠之依據。名冊資料包括互惠對象姓名，單位，郵寄與電子郵件地址。</w:t>
      </w:r>
    </w:p>
    <w:p w:rsidR="009E3C52" w:rsidRDefault="009E3C52" w:rsidP="009E3C52">
      <w:pPr>
        <w:pStyle w:val="a7"/>
        <w:numPr>
          <w:ilvl w:val="0"/>
          <w:numId w:val="5"/>
        </w:numPr>
        <w:ind w:leftChars="0"/>
        <w:rPr>
          <w:rFonts w:ascii="Times New Roman" w:hAnsi="Times New Roman" w:cs="Times New Roman"/>
        </w:rPr>
      </w:pPr>
      <w:r w:rsidRPr="009E3C52">
        <w:rPr>
          <w:rFonts w:ascii="Times New Roman" w:hAnsi="Times New Roman" w:cs="Times New Roman"/>
        </w:rPr>
        <w:t>互惠期限與年費有效期限相同，至當年年底止。</w:t>
      </w:r>
    </w:p>
    <w:p w:rsidR="009E3C52" w:rsidRPr="009E3C52" w:rsidRDefault="009E3C52" w:rsidP="009E3C52">
      <w:pPr>
        <w:pStyle w:val="a7"/>
        <w:numPr>
          <w:ilvl w:val="0"/>
          <w:numId w:val="5"/>
        </w:numPr>
        <w:ind w:leftChars="0"/>
        <w:rPr>
          <w:rFonts w:ascii="Times New Roman" w:hAnsi="Times New Roman" w:cs="Times New Roman"/>
        </w:rPr>
      </w:pPr>
      <w:r w:rsidRPr="009E3C52">
        <w:rPr>
          <w:rFonts w:ascii="Times New Roman" w:hAnsi="Times New Roman" w:cs="Times New Roman"/>
        </w:rPr>
        <w:t>在平等互惠前提下，雙方學會經費以各自獨立為原則。但每年年底應檢討一次，若該年度享受互惠會員數有重大失衡，雙方學會</w:t>
      </w:r>
      <w:r w:rsidRPr="009E3C52">
        <w:rPr>
          <w:rFonts w:ascii="Times New Roman" w:hAnsi="Times New Roman" w:cs="Times New Roman"/>
        </w:rPr>
        <w:lastRenderedPageBreak/>
        <w:t>得做加減賬以維持平等互惠。</w:t>
      </w:r>
    </w:p>
    <w:p w:rsidR="009E3C52" w:rsidRPr="009E3C52" w:rsidRDefault="009E3C52" w:rsidP="009E3C52">
      <w:pPr>
        <w:rPr>
          <w:rFonts w:ascii="Times New Roman" w:hAnsi="Times New Roman" w:cs="Times New Roman"/>
        </w:rPr>
      </w:pPr>
    </w:p>
    <w:p w:rsidR="009E3C52" w:rsidRPr="009E3C52" w:rsidRDefault="009E3C52" w:rsidP="009E3C52">
      <w:pPr>
        <w:pStyle w:val="a7"/>
        <w:numPr>
          <w:ilvl w:val="0"/>
          <w:numId w:val="2"/>
        </w:numPr>
        <w:ind w:leftChars="0"/>
        <w:rPr>
          <w:rFonts w:ascii="Times New Roman" w:hAnsi="Times New Roman" w:cs="Times New Roman"/>
        </w:rPr>
      </w:pPr>
      <w:r w:rsidRPr="009E3C52">
        <w:rPr>
          <w:rFonts w:ascii="Times New Roman" w:hAnsi="Times New Roman" w:cs="Times New Roman"/>
        </w:rPr>
        <w:t>本辦法由台灣語言學學會與中華民國計算語言學學會雙方理事會通過後實施，修改與終止時亦同。</w:t>
      </w:r>
    </w:p>
    <w:p w:rsidR="009E3C52" w:rsidRDefault="009E3C52" w:rsidP="009E3C52">
      <w:pPr>
        <w:rPr>
          <w:rFonts w:ascii="Times New Roman" w:hAnsi="Times New Roman" w:cs="Times New Roman"/>
        </w:rPr>
      </w:pPr>
    </w:p>
    <w:p w:rsidR="00A574DC" w:rsidRPr="00A574DC" w:rsidRDefault="009E3C52" w:rsidP="00A574DC">
      <w:pPr>
        <w:pStyle w:val="a7"/>
        <w:numPr>
          <w:ilvl w:val="0"/>
          <w:numId w:val="1"/>
        </w:numPr>
        <w:ind w:leftChars="0"/>
        <w:rPr>
          <w:rFonts w:ascii="Times New Roman" w:hAnsi="Times New Roman" w:cs="Times New Roman"/>
          <w:b/>
          <w:szCs w:val="26"/>
        </w:rPr>
      </w:pPr>
      <w:r w:rsidRPr="00A574DC">
        <w:rPr>
          <w:rFonts w:ascii="Times New Roman" w:hAnsi="Times New Roman" w:cs="Times New Roman"/>
          <w:b/>
          <w:szCs w:val="26"/>
        </w:rPr>
        <w:t>台灣語言學學會會員</w:t>
      </w:r>
      <w:r w:rsidRPr="00A574DC">
        <w:rPr>
          <w:rFonts w:ascii="Times New Roman" w:hAnsi="Times New Roman" w:cs="Times New Roman" w:hint="eastAsia"/>
          <w:b/>
          <w:szCs w:val="26"/>
        </w:rPr>
        <w:t>購書優惠</w:t>
      </w:r>
    </w:p>
    <w:p w:rsidR="00A574DC" w:rsidRPr="00AA7758" w:rsidRDefault="00A574DC" w:rsidP="00A574DC">
      <w:pPr>
        <w:pStyle w:val="a7"/>
        <w:ind w:leftChars="0"/>
        <w:rPr>
          <w:rFonts w:ascii="Times New Roman" w:hAnsi="Times New Roman" w:cs="Times New Roman"/>
        </w:rPr>
      </w:pPr>
      <w:r w:rsidRPr="00A574DC">
        <w:rPr>
          <w:rFonts w:ascii="Times New Roman" w:hAnsi="Times New Roman" w:cs="Times New Roman" w:hint="eastAsia"/>
        </w:rPr>
        <w:t>凡</w:t>
      </w:r>
      <w:r>
        <w:rPr>
          <w:rFonts w:ascii="Times New Roman" w:hAnsi="Times New Roman" w:cs="Times New Roman" w:hint="eastAsia"/>
        </w:rPr>
        <w:t>加入台灣語言學學會會員，並在會員有效期限內，得享購書優惠。書目一覽及購買方式請參考首頁「出版品」專區。</w:t>
      </w:r>
    </w:p>
    <w:p w:rsidR="00AA7758" w:rsidRDefault="00AA7758" w:rsidP="00A574DC">
      <w:pPr>
        <w:rPr>
          <w:rFonts w:ascii="新細明體" w:hAnsi="新細明體"/>
        </w:rPr>
      </w:pPr>
    </w:p>
    <w:p w:rsidR="00A574DC" w:rsidRPr="00A574DC" w:rsidRDefault="00A574DC" w:rsidP="00A574DC">
      <w:r>
        <w:rPr>
          <w:rFonts w:hint="eastAsia"/>
        </w:rPr>
        <w:t>折扣一覽表</w:t>
      </w:r>
      <w:r w:rsidRPr="00D7261A">
        <w:t>：</w:t>
      </w:r>
    </w:p>
    <w:tbl>
      <w:tblPr>
        <w:tblpPr w:leftFromText="45" w:rightFromText="45" w:vertAnchor="text" w:horzAnchor="margin" w:tblpX="54" w:tblpY="181"/>
        <w:tblOverlap w:val="never"/>
        <w:tblW w:w="5000" w:type="pct"/>
        <w:tblCellSpacing w:w="0" w:type="dxa"/>
        <w:tblBorders>
          <w:top w:val="single" w:sz="8" w:space="0" w:color="808080"/>
          <w:left w:val="single" w:sz="8" w:space="0" w:color="808080"/>
          <w:bottom w:val="single" w:sz="8" w:space="0" w:color="808080"/>
          <w:right w:val="single" w:sz="8" w:space="0" w:color="808080"/>
          <w:insideH w:val="outset" w:sz="6" w:space="0" w:color="auto"/>
          <w:insideV w:val="outset" w:sz="6" w:space="0" w:color="auto"/>
        </w:tblBorders>
        <w:shd w:val="clear" w:color="auto" w:fill="FFFFFF" w:themeFill="background1"/>
        <w:tblCellMar>
          <w:top w:w="45" w:type="dxa"/>
          <w:left w:w="45" w:type="dxa"/>
          <w:bottom w:w="45" w:type="dxa"/>
          <w:right w:w="45" w:type="dxa"/>
        </w:tblCellMar>
        <w:tblLook w:val="0000" w:firstRow="0" w:lastRow="0" w:firstColumn="0" w:lastColumn="0" w:noHBand="0" w:noVBand="0"/>
      </w:tblPr>
      <w:tblGrid>
        <w:gridCol w:w="1063"/>
        <w:gridCol w:w="953"/>
        <w:gridCol w:w="2870"/>
        <w:gridCol w:w="1701"/>
        <w:gridCol w:w="1849"/>
      </w:tblGrid>
      <w:tr w:rsidR="00A574DC" w:rsidRPr="00D45808" w:rsidTr="00A574DC">
        <w:trPr>
          <w:trHeight w:val="778"/>
          <w:tblCellSpacing w:w="0" w:type="dxa"/>
        </w:trPr>
        <w:tc>
          <w:tcPr>
            <w:tcW w:w="1195" w:type="pct"/>
            <w:gridSpan w:val="2"/>
            <w:vMerge w:val="restart"/>
            <w:shd w:val="clear" w:color="auto" w:fill="FFFFFF" w:themeFill="background1"/>
            <w:vAlign w:val="center"/>
          </w:tcPr>
          <w:p w:rsidR="00A574DC" w:rsidRPr="00D45808" w:rsidRDefault="00A574DC" w:rsidP="008E26E0">
            <w:pPr>
              <w:jc w:val="center"/>
              <w:rPr>
                <w:rFonts w:ascii="Helvetica" w:hAnsi="Helvetica" w:cs="新細明體"/>
                <w:kern w:val="0"/>
              </w:rPr>
            </w:pPr>
            <w:r w:rsidRPr="00D45808">
              <w:rPr>
                <w:rFonts w:ascii="Helvetica" w:hAnsi="Helvetica" w:cs="新細明體"/>
                <w:kern w:val="0"/>
              </w:rPr>
              <w:t>國內</w:t>
            </w:r>
          </w:p>
        </w:tc>
        <w:tc>
          <w:tcPr>
            <w:tcW w:w="1701" w:type="pct"/>
            <w:tcBorders>
              <w:top w:val="single" w:sz="8" w:space="0" w:color="808080"/>
              <w:bottom w:val="outset" w:sz="6" w:space="0" w:color="auto"/>
            </w:tcBorders>
            <w:shd w:val="clear" w:color="auto" w:fill="F2F2F2" w:themeFill="background1" w:themeFillShade="F2"/>
            <w:vAlign w:val="center"/>
          </w:tcPr>
          <w:p w:rsidR="00A574DC" w:rsidRPr="00A574DC" w:rsidRDefault="00C16B86" w:rsidP="00C16B86">
            <w:pPr>
              <w:widowControl/>
              <w:ind w:firstLineChars="200" w:firstLine="480"/>
              <w:jc w:val="center"/>
              <w:rPr>
                <w:rFonts w:ascii="Helvetica" w:hAnsi="Helvetica" w:cs="新細明體"/>
                <w:b/>
                <w:kern w:val="0"/>
              </w:rPr>
            </w:pPr>
            <w:r>
              <w:rPr>
                <w:rFonts w:ascii="Helvetica" w:hAnsi="Helvetica" w:cs="新細明體" w:hint="eastAsia"/>
                <w:b/>
                <w:kern w:val="0"/>
              </w:rPr>
              <w:t>身份</w:t>
            </w:r>
          </w:p>
        </w:tc>
        <w:tc>
          <w:tcPr>
            <w:tcW w:w="1008" w:type="pct"/>
            <w:tcBorders>
              <w:top w:val="single" w:sz="8" w:space="0" w:color="808080"/>
              <w:bottom w:val="outset" w:sz="6" w:space="0" w:color="auto"/>
            </w:tcBorders>
            <w:shd w:val="clear" w:color="auto" w:fill="F2F2F2" w:themeFill="background1" w:themeFillShade="F2"/>
            <w:vAlign w:val="center"/>
          </w:tcPr>
          <w:p w:rsidR="00A574DC" w:rsidRPr="00A574DC" w:rsidRDefault="00A574DC" w:rsidP="00A574DC">
            <w:pPr>
              <w:widowControl/>
              <w:jc w:val="center"/>
              <w:rPr>
                <w:rFonts w:ascii="Helvetica" w:hAnsi="Helvetica" w:cs="新細明體"/>
                <w:b/>
                <w:kern w:val="0"/>
              </w:rPr>
            </w:pPr>
            <w:r w:rsidRPr="00A574DC">
              <w:rPr>
                <w:rFonts w:ascii="Helvetica" w:hAnsi="Helvetica" w:cs="新細明體" w:hint="eastAsia"/>
                <w:b/>
                <w:kern w:val="0"/>
              </w:rPr>
              <w:t>折扣</w:t>
            </w:r>
          </w:p>
        </w:tc>
        <w:tc>
          <w:tcPr>
            <w:tcW w:w="1096" w:type="pct"/>
            <w:tcBorders>
              <w:top w:val="single" w:sz="8" w:space="0" w:color="808080"/>
              <w:bottom w:val="outset" w:sz="6" w:space="0" w:color="auto"/>
            </w:tcBorders>
            <w:shd w:val="clear" w:color="auto" w:fill="F2F2F2" w:themeFill="background1" w:themeFillShade="F2"/>
            <w:vAlign w:val="center"/>
          </w:tcPr>
          <w:p w:rsidR="00A574DC" w:rsidRPr="00A574DC" w:rsidRDefault="00A574DC" w:rsidP="00A574DC">
            <w:pPr>
              <w:widowControl/>
              <w:jc w:val="center"/>
              <w:rPr>
                <w:rFonts w:ascii="Helvetica" w:hAnsi="Helvetica" w:cs="新細明體"/>
                <w:b/>
                <w:kern w:val="0"/>
              </w:rPr>
            </w:pPr>
            <w:r w:rsidRPr="00A574DC">
              <w:rPr>
                <w:rFonts w:ascii="Helvetica" w:hAnsi="Helvetica" w:cs="新細明體" w:hint="eastAsia"/>
                <w:b/>
                <w:kern w:val="0"/>
              </w:rPr>
              <w:t>運費</w:t>
            </w:r>
          </w:p>
        </w:tc>
      </w:tr>
      <w:tr w:rsidR="00A574DC" w:rsidRPr="00D45808" w:rsidTr="00A574DC">
        <w:trPr>
          <w:trHeight w:val="778"/>
          <w:tblCellSpacing w:w="0" w:type="dxa"/>
        </w:trPr>
        <w:tc>
          <w:tcPr>
            <w:tcW w:w="1195" w:type="pct"/>
            <w:gridSpan w:val="2"/>
            <w:vMerge/>
            <w:shd w:val="clear" w:color="auto" w:fill="FFFFFF" w:themeFill="background1"/>
            <w:vAlign w:val="center"/>
          </w:tcPr>
          <w:p w:rsidR="00A574DC" w:rsidRPr="00D45808" w:rsidRDefault="00A574DC" w:rsidP="00A574DC">
            <w:pPr>
              <w:widowControl/>
              <w:jc w:val="center"/>
              <w:rPr>
                <w:rFonts w:ascii="Helvetica" w:hAnsi="Helvetica" w:cs="新細明體"/>
                <w:kern w:val="0"/>
              </w:rPr>
            </w:pPr>
          </w:p>
        </w:tc>
        <w:tc>
          <w:tcPr>
            <w:tcW w:w="1701"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ind w:firstLineChars="200" w:firstLine="480"/>
              <w:rPr>
                <w:rFonts w:ascii="Helvetica" w:hAnsi="Helvetica" w:cs="新細明體"/>
                <w:kern w:val="0"/>
              </w:rPr>
            </w:pPr>
            <w:r w:rsidRPr="00D45808">
              <w:rPr>
                <w:rFonts w:ascii="Helvetica" w:hAnsi="Helvetica" w:cs="新細明體"/>
                <w:kern w:val="0"/>
              </w:rPr>
              <w:t>台灣語言學學會會員</w:t>
            </w:r>
          </w:p>
        </w:tc>
        <w:tc>
          <w:tcPr>
            <w:tcW w:w="1008"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訂購價</w:t>
            </w:r>
            <w:r w:rsidRPr="00D45808">
              <w:rPr>
                <w:rFonts w:ascii="Helvetica" w:hAnsi="Helvetica" w:cs="新細明體"/>
                <w:kern w:val="0"/>
              </w:rPr>
              <w:t xml:space="preserve"> 7</w:t>
            </w:r>
            <w:r w:rsidRPr="00D45808">
              <w:rPr>
                <w:rFonts w:ascii="Helvetica" w:hAnsi="Helvetica" w:cs="新細明體"/>
                <w:kern w:val="0"/>
              </w:rPr>
              <w:t>折</w:t>
            </w:r>
          </w:p>
        </w:tc>
        <w:tc>
          <w:tcPr>
            <w:tcW w:w="1096"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jc w:val="center"/>
              <w:rPr>
                <w:rFonts w:ascii="Helvetica" w:hAnsi="Helvetica" w:cs="新細明體"/>
                <w:kern w:val="0"/>
              </w:rPr>
            </w:pPr>
            <w:r>
              <w:rPr>
                <w:rFonts w:ascii="Helvetica" w:hAnsi="Helvetica" w:cs="新細明體" w:hint="eastAsia"/>
                <w:kern w:val="0"/>
              </w:rPr>
              <w:t>免</w:t>
            </w:r>
            <w:r w:rsidRPr="00D45808">
              <w:rPr>
                <w:rFonts w:ascii="Helvetica" w:hAnsi="Helvetica" w:cs="新細明體"/>
                <w:kern w:val="0"/>
              </w:rPr>
              <w:t>運費</w:t>
            </w:r>
          </w:p>
        </w:tc>
      </w:tr>
      <w:tr w:rsidR="00A574DC" w:rsidRPr="00D45808" w:rsidTr="00A574DC">
        <w:trPr>
          <w:trHeight w:val="144"/>
          <w:tblCellSpacing w:w="0" w:type="dxa"/>
        </w:trPr>
        <w:tc>
          <w:tcPr>
            <w:tcW w:w="1195" w:type="pct"/>
            <w:gridSpan w:val="2"/>
            <w:vMerge/>
            <w:shd w:val="clear" w:color="auto" w:fill="FFFFFF" w:themeFill="background1"/>
            <w:vAlign w:val="center"/>
          </w:tcPr>
          <w:p w:rsidR="00A574DC" w:rsidRPr="00D45808" w:rsidRDefault="00A574DC" w:rsidP="00A574DC">
            <w:pPr>
              <w:widowControl/>
              <w:rPr>
                <w:rFonts w:ascii="Helvetica" w:hAnsi="Helvetica" w:cs="新細明體"/>
                <w:kern w:val="0"/>
              </w:rPr>
            </w:pPr>
          </w:p>
        </w:tc>
        <w:tc>
          <w:tcPr>
            <w:tcW w:w="1701" w:type="pct"/>
            <w:shd w:val="clear" w:color="auto" w:fill="FFFFFF" w:themeFill="background1"/>
            <w:vAlign w:val="center"/>
          </w:tcPr>
          <w:p w:rsidR="00A574DC" w:rsidRPr="00D45808" w:rsidRDefault="00A574DC" w:rsidP="00A574DC">
            <w:pPr>
              <w:widowControl/>
              <w:rPr>
                <w:rFonts w:ascii="Helvetica" w:hAnsi="Helvetica" w:cs="新細明體"/>
                <w:kern w:val="0"/>
              </w:rPr>
            </w:pPr>
            <w:r w:rsidRPr="00D45808">
              <w:rPr>
                <w:rFonts w:ascii="Helvetica" w:hAnsi="Helvetica" w:cs="新細明體"/>
                <w:kern w:val="0"/>
              </w:rPr>
              <w:t>非</w:t>
            </w:r>
            <w:r>
              <w:rPr>
                <w:rFonts w:ascii="Helvetica" w:hAnsi="Helvetica" w:cs="新細明體" w:hint="eastAsia"/>
                <w:kern w:val="0"/>
              </w:rPr>
              <w:t xml:space="preserve">  </w:t>
            </w:r>
            <w:r w:rsidRPr="00D45808">
              <w:rPr>
                <w:rFonts w:ascii="Helvetica" w:hAnsi="Helvetica" w:cs="新細明體"/>
                <w:kern w:val="0"/>
              </w:rPr>
              <w:t>台灣語言學學會會員</w:t>
            </w:r>
          </w:p>
        </w:tc>
        <w:tc>
          <w:tcPr>
            <w:tcW w:w="1008" w:type="pc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訂購價</w:t>
            </w:r>
            <w:r w:rsidRPr="00D45808">
              <w:rPr>
                <w:rFonts w:ascii="Helvetica" w:hAnsi="Helvetica" w:cs="新細明體"/>
                <w:kern w:val="0"/>
              </w:rPr>
              <w:t xml:space="preserve"> 8</w:t>
            </w:r>
            <w:r w:rsidRPr="00D45808">
              <w:rPr>
                <w:rFonts w:ascii="Helvetica" w:hAnsi="Helvetica" w:cs="新細明體"/>
                <w:kern w:val="0"/>
              </w:rPr>
              <w:t>折</w:t>
            </w:r>
          </w:p>
        </w:tc>
        <w:tc>
          <w:tcPr>
            <w:tcW w:w="1096" w:type="pc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Pr>
                <w:rFonts w:ascii="Helvetica" w:hAnsi="Helvetica" w:cs="新細明體" w:hint="eastAsia"/>
                <w:kern w:val="0"/>
              </w:rPr>
              <w:t>免</w:t>
            </w:r>
            <w:r w:rsidRPr="00D45808">
              <w:rPr>
                <w:rFonts w:ascii="Helvetica" w:hAnsi="Helvetica" w:cs="新細明體"/>
                <w:kern w:val="0"/>
              </w:rPr>
              <w:t>運費</w:t>
            </w:r>
          </w:p>
        </w:tc>
      </w:tr>
      <w:tr w:rsidR="00A574DC" w:rsidRPr="00D45808" w:rsidTr="00A574DC">
        <w:trPr>
          <w:trHeight w:val="778"/>
          <w:tblCellSpacing w:w="0" w:type="dxa"/>
        </w:trPr>
        <w:tc>
          <w:tcPr>
            <w:tcW w:w="630" w:type="pct"/>
            <w:vMerge w:val="restar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國外</w:t>
            </w:r>
          </w:p>
        </w:tc>
        <w:tc>
          <w:tcPr>
            <w:tcW w:w="565" w:type="pct"/>
            <w:vMerge w:val="restar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海運</w:t>
            </w:r>
          </w:p>
        </w:tc>
        <w:tc>
          <w:tcPr>
            <w:tcW w:w="1701"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ind w:firstLineChars="200" w:firstLine="480"/>
              <w:rPr>
                <w:rFonts w:ascii="Helvetica" w:hAnsi="Helvetica" w:cs="新細明體"/>
                <w:kern w:val="0"/>
              </w:rPr>
            </w:pPr>
            <w:r w:rsidRPr="00D45808">
              <w:rPr>
                <w:rFonts w:ascii="Helvetica" w:hAnsi="Helvetica" w:cs="新細明體"/>
                <w:kern w:val="0"/>
              </w:rPr>
              <w:t>台灣語言學學會會員</w:t>
            </w:r>
          </w:p>
        </w:tc>
        <w:tc>
          <w:tcPr>
            <w:tcW w:w="1008"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訂購價</w:t>
            </w:r>
            <w:r w:rsidRPr="00D45808">
              <w:rPr>
                <w:rFonts w:ascii="Helvetica" w:hAnsi="Helvetica" w:cs="新細明體"/>
                <w:kern w:val="0"/>
              </w:rPr>
              <w:t xml:space="preserve"> 8</w:t>
            </w:r>
            <w:r w:rsidRPr="00D45808">
              <w:rPr>
                <w:rFonts w:ascii="Helvetica" w:hAnsi="Helvetica" w:cs="新細明體"/>
                <w:kern w:val="0"/>
              </w:rPr>
              <w:t>折</w:t>
            </w:r>
          </w:p>
        </w:tc>
        <w:tc>
          <w:tcPr>
            <w:tcW w:w="1096"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 </w:t>
            </w:r>
          </w:p>
        </w:tc>
      </w:tr>
      <w:tr w:rsidR="00A574DC" w:rsidRPr="00D45808" w:rsidTr="00A574DC">
        <w:trPr>
          <w:trHeight w:val="144"/>
          <w:tblCellSpacing w:w="0" w:type="dxa"/>
        </w:trPr>
        <w:tc>
          <w:tcPr>
            <w:tcW w:w="630" w:type="pct"/>
            <w:vMerge/>
            <w:shd w:val="clear" w:color="auto" w:fill="FFFFFF" w:themeFill="background1"/>
            <w:vAlign w:val="center"/>
          </w:tcPr>
          <w:p w:rsidR="00A574DC" w:rsidRPr="00D45808" w:rsidRDefault="00A574DC" w:rsidP="00A574DC">
            <w:pPr>
              <w:widowControl/>
              <w:rPr>
                <w:rFonts w:ascii="Helvetica" w:hAnsi="Helvetica" w:cs="新細明體"/>
                <w:kern w:val="0"/>
              </w:rPr>
            </w:pPr>
          </w:p>
        </w:tc>
        <w:tc>
          <w:tcPr>
            <w:tcW w:w="565" w:type="pct"/>
            <w:vMerge/>
            <w:shd w:val="clear" w:color="auto" w:fill="FFFFFF" w:themeFill="background1"/>
            <w:vAlign w:val="center"/>
          </w:tcPr>
          <w:p w:rsidR="00A574DC" w:rsidRPr="00D45808" w:rsidRDefault="00A574DC" w:rsidP="00A574DC">
            <w:pPr>
              <w:widowControl/>
              <w:rPr>
                <w:rFonts w:ascii="Helvetica" w:hAnsi="Helvetica" w:cs="新細明體"/>
                <w:kern w:val="0"/>
              </w:rPr>
            </w:pPr>
          </w:p>
        </w:tc>
        <w:tc>
          <w:tcPr>
            <w:tcW w:w="1701" w:type="pct"/>
            <w:shd w:val="clear" w:color="auto" w:fill="FFFFFF" w:themeFill="background1"/>
            <w:vAlign w:val="center"/>
          </w:tcPr>
          <w:p w:rsidR="00A574DC" w:rsidRPr="00D45808" w:rsidRDefault="00A574DC" w:rsidP="00A574DC">
            <w:pPr>
              <w:widowControl/>
              <w:rPr>
                <w:rFonts w:ascii="Helvetica" w:hAnsi="Helvetica" w:cs="新細明體"/>
                <w:kern w:val="0"/>
              </w:rPr>
            </w:pPr>
            <w:r w:rsidRPr="00D45808">
              <w:rPr>
                <w:rFonts w:ascii="Helvetica" w:hAnsi="Helvetica" w:cs="新細明體"/>
                <w:kern w:val="0"/>
              </w:rPr>
              <w:t>非</w:t>
            </w:r>
            <w:r>
              <w:rPr>
                <w:rFonts w:ascii="Helvetica" w:hAnsi="Helvetica" w:cs="新細明體" w:hint="eastAsia"/>
                <w:kern w:val="0"/>
              </w:rPr>
              <w:t xml:space="preserve">  </w:t>
            </w:r>
            <w:r w:rsidRPr="00D45808">
              <w:rPr>
                <w:rFonts w:ascii="Helvetica" w:hAnsi="Helvetica" w:cs="新細明體"/>
                <w:kern w:val="0"/>
              </w:rPr>
              <w:t>台灣語言學學會會員</w:t>
            </w:r>
          </w:p>
        </w:tc>
        <w:tc>
          <w:tcPr>
            <w:tcW w:w="1008" w:type="pc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原訂購價</w:t>
            </w:r>
          </w:p>
        </w:tc>
        <w:tc>
          <w:tcPr>
            <w:tcW w:w="1096" w:type="pc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 </w:t>
            </w:r>
          </w:p>
        </w:tc>
      </w:tr>
      <w:tr w:rsidR="00A574DC" w:rsidRPr="00D45808" w:rsidTr="00A574DC">
        <w:trPr>
          <w:trHeight w:val="144"/>
          <w:tblCellSpacing w:w="0" w:type="dxa"/>
        </w:trPr>
        <w:tc>
          <w:tcPr>
            <w:tcW w:w="630" w:type="pct"/>
            <w:vMerge/>
            <w:shd w:val="clear" w:color="auto" w:fill="FFFFFF" w:themeFill="background1"/>
            <w:vAlign w:val="center"/>
          </w:tcPr>
          <w:p w:rsidR="00A574DC" w:rsidRPr="00D45808" w:rsidRDefault="00A574DC" w:rsidP="00A574DC">
            <w:pPr>
              <w:widowControl/>
              <w:rPr>
                <w:rFonts w:ascii="Helvetica" w:hAnsi="Helvetica" w:cs="新細明體"/>
                <w:kern w:val="0"/>
              </w:rPr>
            </w:pPr>
          </w:p>
        </w:tc>
        <w:tc>
          <w:tcPr>
            <w:tcW w:w="565" w:type="pct"/>
            <w:vMerge w:val="restar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空運</w:t>
            </w:r>
          </w:p>
        </w:tc>
        <w:tc>
          <w:tcPr>
            <w:tcW w:w="1701"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ind w:firstLineChars="200" w:firstLine="480"/>
              <w:rPr>
                <w:rFonts w:ascii="Helvetica" w:hAnsi="Helvetica" w:cs="新細明體"/>
                <w:kern w:val="0"/>
              </w:rPr>
            </w:pPr>
            <w:r w:rsidRPr="00D45808">
              <w:rPr>
                <w:rFonts w:ascii="Helvetica" w:hAnsi="Helvetica" w:cs="新細明體"/>
                <w:kern w:val="0"/>
              </w:rPr>
              <w:t>台灣語言學學會會員</w:t>
            </w:r>
          </w:p>
        </w:tc>
        <w:tc>
          <w:tcPr>
            <w:tcW w:w="1008"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訂購價</w:t>
            </w:r>
            <w:r w:rsidRPr="00D45808">
              <w:rPr>
                <w:rFonts w:ascii="Helvetica" w:hAnsi="Helvetica" w:cs="新細明體"/>
                <w:kern w:val="0"/>
              </w:rPr>
              <w:t xml:space="preserve"> 8</w:t>
            </w:r>
            <w:r w:rsidRPr="00D45808">
              <w:rPr>
                <w:rFonts w:ascii="Helvetica" w:hAnsi="Helvetica" w:cs="新細明體"/>
                <w:kern w:val="0"/>
              </w:rPr>
              <w:t>折</w:t>
            </w:r>
          </w:p>
        </w:tc>
        <w:tc>
          <w:tcPr>
            <w:tcW w:w="1096" w:type="pct"/>
            <w:tcBorders>
              <w:top w:val="single" w:sz="8" w:space="0" w:color="808080"/>
              <w:bottom w:val="outset" w:sz="6" w:space="0" w:color="auto"/>
            </w:tcBorders>
            <w:shd w:val="clear" w:color="auto" w:fill="F2F2F2" w:themeFill="background1" w:themeFillShade="F2"/>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+10</w:t>
            </w:r>
            <w:r w:rsidRPr="00D45808">
              <w:rPr>
                <w:rFonts w:ascii="Helvetica" w:hAnsi="Helvetica" w:cs="新細明體"/>
                <w:kern w:val="0"/>
              </w:rPr>
              <w:t>元美金</w:t>
            </w:r>
            <w:r w:rsidRPr="00D45808">
              <w:rPr>
                <w:rFonts w:ascii="Helvetica" w:hAnsi="Helvetica" w:cs="新細明體"/>
                <w:kern w:val="0"/>
              </w:rPr>
              <w:t>/</w:t>
            </w:r>
            <w:r w:rsidRPr="00D45808">
              <w:rPr>
                <w:rFonts w:ascii="Helvetica" w:hAnsi="Helvetica" w:cs="新細明體"/>
                <w:kern w:val="0"/>
              </w:rPr>
              <w:t>本</w:t>
            </w:r>
          </w:p>
        </w:tc>
      </w:tr>
      <w:tr w:rsidR="00A574DC" w:rsidRPr="00D45808" w:rsidTr="00A574DC">
        <w:trPr>
          <w:trHeight w:val="144"/>
          <w:tblCellSpacing w:w="0" w:type="dxa"/>
        </w:trPr>
        <w:tc>
          <w:tcPr>
            <w:tcW w:w="630" w:type="pct"/>
            <w:vMerge/>
            <w:shd w:val="clear" w:color="auto" w:fill="FFFFFF" w:themeFill="background1"/>
            <w:vAlign w:val="center"/>
          </w:tcPr>
          <w:p w:rsidR="00A574DC" w:rsidRPr="00D45808" w:rsidRDefault="00A574DC" w:rsidP="00A574DC">
            <w:pPr>
              <w:widowControl/>
              <w:rPr>
                <w:rFonts w:ascii="Helvetica" w:hAnsi="Helvetica" w:cs="新細明體"/>
                <w:kern w:val="0"/>
              </w:rPr>
            </w:pPr>
          </w:p>
        </w:tc>
        <w:tc>
          <w:tcPr>
            <w:tcW w:w="565" w:type="pct"/>
            <w:vMerge/>
            <w:shd w:val="clear" w:color="auto" w:fill="FFFFFF" w:themeFill="background1"/>
            <w:vAlign w:val="center"/>
          </w:tcPr>
          <w:p w:rsidR="00A574DC" w:rsidRPr="00D45808" w:rsidRDefault="00A574DC" w:rsidP="00A574DC">
            <w:pPr>
              <w:widowControl/>
              <w:rPr>
                <w:rFonts w:ascii="Helvetica" w:hAnsi="Helvetica" w:cs="新細明體"/>
                <w:kern w:val="0"/>
              </w:rPr>
            </w:pPr>
          </w:p>
        </w:tc>
        <w:tc>
          <w:tcPr>
            <w:tcW w:w="1701" w:type="pct"/>
            <w:shd w:val="clear" w:color="auto" w:fill="FFFFFF" w:themeFill="background1"/>
            <w:vAlign w:val="center"/>
          </w:tcPr>
          <w:p w:rsidR="00A574DC" w:rsidRPr="00D45808" w:rsidRDefault="00A574DC" w:rsidP="00A574DC">
            <w:pPr>
              <w:widowControl/>
              <w:rPr>
                <w:rFonts w:ascii="Helvetica" w:hAnsi="Helvetica" w:cs="新細明體"/>
                <w:kern w:val="0"/>
              </w:rPr>
            </w:pPr>
            <w:r w:rsidRPr="00D45808">
              <w:rPr>
                <w:rFonts w:ascii="Helvetica" w:hAnsi="Helvetica" w:cs="新細明體"/>
                <w:kern w:val="0"/>
              </w:rPr>
              <w:t>非</w:t>
            </w:r>
            <w:r>
              <w:rPr>
                <w:rFonts w:ascii="Helvetica" w:hAnsi="Helvetica" w:cs="新細明體" w:hint="eastAsia"/>
                <w:kern w:val="0"/>
              </w:rPr>
              <w:t xml:space="preserve">  </w:t>
            </w:r>
            <w:r w:rsidRPr="00D45808">
              <w:rPr>
                <w:rFonts w:ascii="Helvetica" w:hAnsi="Helvetica" w:cs="新細明體"/>
                <w:kern w:val="0"/>
              </w:rPr>
              <w:t>台灣語言學學會會員</w:t>
            </w:r>
          </w:p>
        </w:tc>
        <w:tc>
          <w:tcPr>
            <w:tcW w:w="1008" w:type="pc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原訂購價</w:t>
            </w:r>
          </w:p>
        </w:tc>
        <w:tc>
          <w:tcPr>
            <w:tcW w:w="1096" w:type="pct"/>
            <w:shd w:val="clear" w:color="auto" w:fill="FFFFFF" w:themeFill="background1"/>
            <w:vAlign w:val="center"/>
          </w:tcPr>
          <w:p w:rsidR="00A574DC" w:rsidRPr="00D45808" w:rsidRDefault="00A574DC" w:rsidP="00A574DC">
            <w:pPr>
              <w:widowControl/>
              <w:jc w:val="center"/>
              <w:rPr>
                <w:rFonts w:ascii="Helvetica" w:hAnsi="Helvetica" w:cs="新細明體"/>
                <w:kern w:val="0"/>
              </w:rPr>
            </w:pPr>
            <w:r w:rsidRPr="00D45808">
              <w:rPr>
                <w:rFonts w:ascii="Helvetica" w:hAnsi="Helvetica" w:cs="新細明體"/>
                <w:kern w:val="0"/>
              </w:rPr>
              <w:t>+10</w:t>
            </w:r>
            <w:r w:rsidRPr="00D45808">
              <w:rPr>
                <w:rFonts w:ascii="Helvetica" w:hAnsi="Helvetica" w:cs="新細明體"/>
                <w:kern w:val="0"/>
              </w:rPr>
              <w:t>元美金</w:t>
            </w:r>
            <w:r w:rsidRPr="00D45808">
              <w:rPr>
                <w:rFonts w:ascii="Helvetica" w:hAnsi="Helvetica" w:cs="新細明體"/>
                <w:kern w:val="0"/>
              </w:rPr>
              <w:t>/</w:t>
            </w:r>
            <w:r w:rsidRPr="00D45808">
              <w:rPr>
                <w:rFonts w:ascii="Helvetica" w:hAnsi="Helvetica" w:cs="新細明體"/>
                <w:kern w:val="0"/>
              </w:rPr>
              <w:t>本</w:t>
            </w:r>
          </w:p>
        </w:tc>
      </w:tr>
    </w:tbl>
    <w:p w:rsidR="00A574DC" w:rsidRDefault="00A574DC" w:rsidP="00A574DC">
      <w:pPr>
        <w:pStyle w:val="a7"/>
        <w:ind w:leftChars="0"/>
      </w:pPr>
    </w:p>
    <w:p w:rsidR="00A574DC" w:rsidRPr="00A574DC" w:rsidRDefault="00A574DC" w:rsidP="00A574DC">
      <w:pPr>
        <w:pStyle w:val="a7"/>
        <w:ind w:leftChars="0"/>
      </w:pPr>
    </w:p>
    <w:p w:rsidR="009E3C52" w:rsidRPr="00A574DC" w:rsidRDefault="009E3C52" w:rsidP="009E3C52">
      <w:pPr>
        <w:pStyle w:val="a7"/>
        <w:numPr>
          <w:ilvl w:val="0"/>
          <w:numId w:val="1"/>
        </w:numPr>
        <w:ind w:leftChars="0"/>
        <w:rPr>
          <w:rFonts w:ascii="Times New Roman" w:hAnsi="Times New Roman" w:cs="Times New Roman"/>
          <w:b/>
          <w:szCs w:val="26"/>
        </w:rPr>
      </w:pPr>
      <w:r w:rsidRPr="00A574DC">
        <w:rPr>
          <w:rFonts w:ascii="Times New Roman" w:hAnsi="Times New Roman" w:cs="Times New Roman"/>
          <w:b/>
          <w:szCs w:val="26"/>
        </w:rPr>
        <w:t>台灣語言學學會</w:t>
      </w:r>
      <w:r w:rsidRPr="00A574DC">
        <w:rPr>
          <w:rFonts w:ascii="Times New Roman" w:hAnsi="Times New Roman" w:cs="Times New Roman" w:hint="eastAsia"/>
          <w:b/>
          <w:szCs w:val="26"/>
        </w:rPr>
        <w:t>學生</w:t>
      </w:r>
      <w:r w:rsidRPr="00A574DC">
        <w:rPr>
          <w:rFonts w:ascii="Times New Roman" w:hAnsi="Times New Roman" w:cs="Times New Roman"/>
          <w:b/>
          <w:szCs w:val="26"/>
        </w:rPr>
        <w:t>會員</w:t>
      </w:r>
    </w:p>
    <w:p w:rsidR="00C16B86" w:rsidRPr="00C16B86" w:rsidRDefault="004F7B52" w:rsidP="00AA7758">
      <w:pPr>
        <w:pStyle w:val="a7"/>
        <w:ind w:leftChars="0"/>
        <w:rPr>
          <w:rFonts w:ascii="Times New Roman" w:hAnsi="Times New Roman" w:cs="Times New Roman"/>
        </w:rPr>
      </w:pPr>
      <w:r>
        <w:rPr>
          <w:rFonts w:ascii="Times New Roman" w:hAnsi="Times New Roman" w:cs="Times New Roman" w:hint="eastAsia"/>
        </w:rPr>
        <w:t>凡</w:t>
      </w:r>
      <w:r w:rsidR="00C16B86">
        <w:rPr>
          <w:rFonts w:ascii="Times New Roman" w:hAnsi="Times New Roman" w:cs="Times New Roman" w:hint="eastAsia"/>
        </w:rPr>
        <w:t>台灣語言學學會會員在會員有效期限內，</w:t>
      </w:r>
      <w:r w:rsidR="00F262D1">
        <w:rPr>
          <w:rFonts w:ascii="Times New Roman" w:hAnsi="Times New Roman" w:cs="Times New Roman" w:hint="eastAsia"/>
        </w:rPr>
        <w:t>如</w:t>
      </w:r>
      <w:r w:rsidR="00C16B86" w:rsidRPr="00C16B86">
        <w:rPr>
          <w:rFonts w:ascii="Times New Roman" w:hAnsi="Times New Roman" w:cs="Times New Roman" w:hint="eastAsia"/>
        </w:rPr>
        <w:t>出席國內學術會議</w:t>
      </w:r>
      <w:r w:rsidR="00F262D1">
        <w:rPr>
          <w:rFonts w:ascii="Times New Roman" w:hAnsi="Times New Roman" w:cs="Times New Roman" w:hint="eastAsia"/>
        </w:rPr>
        <w:t>發表論文，皆可申請註冊費、交通費、住宿費等部分金額</w:t>
      </w:r>
      <w:r w:rsidR="00C16B86" w:rsidRPr="00C16B86">
        <w:rPr>
          <w:rFonts w:ascii="Times New Roman" w:hAnsi="Times New Roman" w:cs="Times New Roman" w:hint="eastAsia"/>
        </w:rPr>
        <w:t>之補助。</w:t>
      </w:r>
      <w:bookmarkStart w:id="0" w:name="_GoBack"/>
      <w:bookmarkEnd w:id="0"/>
      <w:r w:rsidR="009E04A4">
        <w:rPr>
          <w:rFonts w:ascii="Times New Roman" w:hAnsi="Times New Roman" w:cs="Times New Roman" w:hint="eastAsia"/>
        </w:rPr>
        <w:t>詳情請參考「表單下載」專區。</w:t>
      </w:r>
    </w:p>
    <w:p w:rsidR="009E3C52" w:rsidRPr="00AA7758" w:rsidRDefault="009E3C52" w:rsidP="00C16B86">
      <w:pPr>
        <w:rPr>
          <w:rFonts w:ascii="Times New Roman" w:hAnsi="Times New Roman" w:cs="Times New Roman"/>
        </w:rPr>
      </w:pPr>
    </w:p>
    <w:sectPr w:rsidR="009E3C52" w:rsidRPr="00AA77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E3" w:rsidRDefault="00CA03E3" w:rsidP="009E3C52">
      <w:r>
        <w:separator/>
      </w:r>
    </w:p>
  </w:endnote>
  <w:endnote w:type="continuationSeparator" w:id="0">
    <w:p w:rsidR="00CA03E3" w:rsidRDefault="00CA03E3" w:rsidP="009E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E3" w:rsidRDefault="00CA03E3" w:rsidP="009E3C52">
      <w:r>
        <w:separator/>
      </w:r>
    </w:p>
  </w:footnote>
  <w:footnote w:type="continuationSeparator" w:id="0">
    <w:p w:rsidR="00CA03E3" w:rsidRDefault="00CA03E3" w:rsidP="009E3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27B0"/>
    <w:multiLevelType w:val="hybridMultilevel"/>
    <w:tmpl w:val="723840F6"/>
    <w:lvl w:ilvl="0" w:tplc="1518BD9A">
      <w:start w:val="1"/>
      <w:numFmt w:val="ideographTraditional"/>
      <w:lvlText w:val="%1、"/>
      <w:lvlJc w:val="left"/>
      <w:pPr>
        <w:ind w:left="150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7E0999"/>
    <w:multiLevelType w:val="hybridMultilevel"/>
    <w:tmpl w:val="CB88C634"/>
    <w:lvl w:ilvl="0" w:tplc="4B30ED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7A13D3"/>
    <w:multiLevelType w:val="hybridMultilevel"/>
    <w:tmpl w:val="B2BC57EC"/>
    <w:lvl w:ilvl="0" w:tplc="D5FA6142">
      <w:start w:val="1"/>
      <w:numFmt w:val="ideographTraditional"/>
      <w:lvlText w:val="%1、"/>
      <w:lvlJc w:val="left"/>
      <w:pPr>
        <w:ind w:left="1500" w:hanging="5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0C04002"/>
    <w:multiLevelType w:val="hybridMultilevel"/>
    <w:tmpl w:val="647C53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52742D"/>
    <w:multiLevelType w:val="hybridMultilevel"/>
    <w:tmpl w:val="4F62BF06"/>
    <w:lvl w:ilvl="0" w:tplc="2982A60E">
      <w:start w:val="1"/>
      <w:numFmt w:val="ideographTraditional"/>
      <w:lvlText w:val="%1、"/>
      <w:lvlJc w:val="left"/>
      <w:pPr>
        <w:ind w:left="150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7"/>
    <w:rsid w:val="004F7B52"/>
    <w:rsid w:val="005641CC"/>
    <w:rsid w:val="00641769"/>
    <w:rsid w:val="00874EC7"/>
    <w:rsid w:val="009E04A4"/>
    <w:rsid w:val="009E3C52"/>
    <w:rsid w:val="00A574DC"/>
    <w:rsid w:val="00AA7758"/>
    <w:rsid w:val="00C16B86"/>
    <w:rsid w:val="00CA03E3"/>
    <w:rsid w:val="00DD4169"/>
    <w:rsid w:val="00F26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C52"/>
    <w:pPr>
      <w:tabs>
        <w:tab w:val="center" w:pos="4153"/>
        <w:tab w:val="right" w:pos="8306"/>
      </w:tabs>
      <w:snapToGrid w:val="0"/>
    </w:pPr>
    <w:rPr>
      <w:sz w:val="20"/>
      <w:szCs w:val="20"/>
    </w:rPr>
  </w:style>
  <w:style w:type="character" w:customStyle="1" w:styleId="a4">
    <w:name w:val="頁首 字元"/>
    <w:basedOn w:val="a0"/>
    <w:link w:val="a3"/>
    <w:uiPriority w:val="99"/>
    <w:rsid w:val="009E3C52"/>
    <w:rPr>
      <w:sz w:val="20"/>
      <w:szCs w:val="20"/>
    </w:rPr>
  </w:style>
  <w:style w:type="paragraph" w:styleId="a5">
    <w:name w:val="footer"/>
    <w:basedOn w:val="a"/>
    <w:link w:val="a6"/>
    <w:uiPriority w:val="99"/>
    <w:unhideWhenUsed/>
    <w:rsid w:val="009E3C52"/>
    <w:pPr>
      <w:tabs>
        <w:tab w:val="center" w:pos="4153"/>
        <w:tab w:val="right" w:pos="8306"/>
      </w:tabs>
      <w:snapToGrid w:val="0"/>
    </w:pPr>
    <w:rPr>
      <w:sz w:val="20"/>
      <w:szCs w:val="20"/>
    </w:rPr>
  </w:style>
  <w:style w:type="character" w:customStyle="1" w:styleId="a6">
    <w:name w:val="頁尾 字元"/>
    <w:basedOn w:val="a0"/>
    <w:link w:val="a5"/>
    <w:uiPriority w:val="99"/>
    <w:rsid w:val="009E3C52"/>
    <w:rPr>
      <w:sz w:val="20"/>
      <w:szCs w:val="20"/>
    </w:rPr>
  </w:style>
  <w:style w:type="paragraph" w:styleId="a7">
    <w:name w:val="List Paragraph"/>
    <w:basedOn w:val="a"/>
    <w:uiPriority w:val="34"/>
    <w:qFormat/>
    <w:rsid w:val="009E3C5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C52"/>
    <w:pPr>
      <w:tabs>
        <w:tab w:val="center" w:pos="4153"/>
        <w:tab w:val="right" w:pos="8306"/>
      </w:tabs>
      <w:snapToGrid w:val="0"/>
    </w:pPr>
    <w:rPr>
      <w:sz w:val="20"/>
      <w:szCs w:val="20"/>
    </w:rPr>
  </w:style>
  <w:style w:type="character" w:customStyle="1" w:styleId="a4">
    <w:name w:val="頁首 字元"/>
    <w:basedOn w:val="a0"/>
    <w:link w:val="a3"/>
    <w:uiPriority w:val="99"/>
    <w:rsid w:val="009E3C52"/>
    <w:rPr>
      <w:sz w:val="20"/>
      <w:szCs w:val="20"/>
    </w:rPr>
  </w:style>
  <w:style w:type="paragraph" w:styleId="a5">
    <w:name w:val="footer"/>
    <w:basedOn w:val="a"/>
    <w:link w:val="a6"/>
    <w:uiPriority w:val="99"/>
    <w:unhideWhenUsed/>
    <w:rsid w:val="009E3C52"/>
    <w:pPr>
      <w:tabs>
        <w:tab w:val="center" w:pos="4153"/>
        <w:tab w:val="right" w:pos="8306"/>
      </w:tabs>
      <w:snapToGrid w:val="0"/>
    </w:pPr>
    <w:rPr>
      <w:sz w:val="20"/>
      <w:szCs w:val="20"/>
    </w:rPr>
  </w:style>
  <w:style w:type="character" w:customStyle="1" w:styleId="a6">
    <w:name w:val="頁尾 字元"/>
    <w:basedOn w:val="a0"/>
    <w:link w:val="a5"/>
    <w:uiPriority w:val="99"/>
    <w:rsid w:val="009E3C52"/>
    <w:rPr>
      <w:sz w:val="20"/>
      <w:szCs w:val="20"/>
    </w:rPr>
  </w:style>
  <w:style w:type="paragraph" w:styleId="a7">
    <w:name w:val="List Paragraph"/>
    <w:basedOn w:val="a"/>
    <w:uiPriority w:val="34"/>
    <w:qFormat/>
    <w:rsid w:val="009E3C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3082">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
    <w:div w:id="11045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derek</cp:lastModifiedBy>
  <cp:revision>7</cp:revision>
  <dcterms:created xsi:type="dcterms:W3CDTF">2015-01-30T04:21:00Z</dcterms:created>
  <dcterms:modified xsi:type="dcterms:W3CDTF">2015-01-30T04:59:00Z</dcterms:modified>
</cp:coreProperties>
</file>